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A5D2" w14:textId="14DB1A81" w:rsidR="00426D81" w:rsidRDefault="00B90E56">
      <w:r>
        <w:rPr>
          <w:noProof/>
        </w:rPr>
        <w:drawing>
          <wp:inline distT="0" distB="0" distL="0" distR="0" wp14:anchorId="6FEDEDBB" wp14:editId="2ACA087F">
            <wp:extent cx="2769490" cy="89535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26" cy="89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4758B" w14:textId="3E6E358E" w:rsidR="00B90E56" w:rsidRDefault="00B90E56"/>
    <w:p w14:paraId="40EF591C" w14:textId="7570ABAF" w:rsidR="00B90E56" w:rsidRPr="00FC5B14" w:rsidRDefault="00B90E56" w:rsidP="00FC5B14">
      <w:pPr>
        <w:jc w:val="center"/>
        <w:rPr>
          <w:b/>
          <w:bCs/>
          <w:sz w:val="56"/>
          <w:szCs w:val="56"/>
        </w:rPr>
      </w:pPr>
      <w:r w:rsidRPr="00FC5B14">
        <w:rPr>
          <w:b/>
          <w:bCs/>
          <w:sz w:val="56"/>
          <w:szCs w:val="56"/>
        </w:rPr>
        <w:t>QUALITY IMPROVEMENT PLAN</w:t>
      </w:r>
    </w:p>
    <w:p w14:paraId="7E775507" w14:textId="23B4A8A2" w:rsidR="00B90E56" w:rsidRPr="00FC5B14" w:rsidRDefault="00B90E56" w:rsidP="00FC5B14">
      <w:pPr>
        <w:jc w:val="center"/>
        <w:rPr>
          <w:b/>
          <w:bCs/>
          <w:sz w:val="56"/>
          <w:szCs w:val="56"/>
        </w:rPr>
      </w:pPr>
      <w:r w:rsidRPr="00FC5B14">
        <w:rPr>
          <w:b/>
          <w:bCs/>
          <w:sz w:val="56"/>
          <w:szCs w:val="56"/>
        </w:rPr>
        <w:t>2023-2024</w:t>
      </w:r>
    </w:p>
    <w:p w14:paraId="3BE71341" w14:textId="77C57B60" w:rsidR="00B90E56" w:rsidRDefault="00B90E56">
      <w:pPr>
        <w:rPr>
          <w:sz w:val="28"/>
          <w:szCs w:val="28"/>
        </w:rPr>
      </w:pPr>
      <w:r>
        <w:rPr>
          <w:sz w:val="28"/>
          <w:szCs w:val="28"/>
        </w:rPr>
        <w:t xml:space="preserve">Our workplan for 2023-2024 includes </w:t>
      </w:r>
      <w:r w:rsidR="00FC5B14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quality indicators that are closely aligned with our Strategic Goals.  Change ideas and targets can be found in the </w:t>
      </w:r>
      <w:r w:rsidR="003E38F7">
        <w:rPr>
          <w:sz w:val="28"/>
          <w:szCs w:val="28"/>
        </w:rPr>
        <w:t>attached</w:t>
      </w:r>
      <w:r w:rsidR="003E38F7">
        <w:rPr>
          <w:sz w:val="28"/>
          <w:szCs w:val="28"/>
        </w:rPr>
        <w:t xml:space="preserve"> </w:t>
      </w:r>
      <w:r>
        <w:rPr>
          <w:sz w:val="28"/>
          <w:szCs w:val="28"/>
        </w:rPr>
        <w:t>workplan.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2551"/>
      </w:tblGrid>
      <w:tr w:rsidR="00B90E56" w14:paraId="3B30018A" w14:textId="77777777" w:rsidTr="00FC5B14">
        <w:tc>
          <w:tcPr>
            <w:tcW w:w="1555" w:type="dxa"/>
            <w:shd w:val="clear" w:color="auto" w:fill="488992"/>
          </w:tcPr>
          <w:p w14:paraId="34F75F2F" w14:textId="5C960FED" w:rsidR="00B90E56" w:rsidRPr="00FC5B14" w:rsidRDefault="00B90E5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C5B14">
              <w:rPr>
                <w:b/>
                <w:bCs/>
                <w:color w:val="FFFFFF" w:themeColor="background1"/>
                <w:sz w:val="28"/>
                <w:szCs w:val="28"/>
              </w:rPr>
              <w:t>Quality Dimension</w:t>
            </w:r>
          </w:p>
        </w:tc>
        <w:tc>
          <w:tcPr>
            <w:tcW w:w="5244" w:type="dxa"/>
            <w:shd w:val="clear" w:color="auto" w:fill="488992"/>
          </w:tcPr>
          <w:p w14:paraId="110B6538" w14:textId="24746ECF" w:rsidR="00B90E56" w:rsidRPr="00FC5B14" w:rsidRDefault="00B90E5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C5B14">
              <w:rPr>
                <w:b/>
                <w:bCs/>
                <w:color w:val="FFFFFF" w:themeColor="background1"/>
                <w:sz w:val="28"/>
                <w:szCs w:val="28"/>
              </w:rPr>
              <w:t xml:space="preserve">Indicator </w:t>
            </w:r>
          </w:p>
        </w:tc>
        <w:tc>
          <w:tcPr>
            <w:tcW w:w="2551" w:type="dxa"/>
            <w:shd w:val="clear" w:color="auto" w:fill="488992"/>
          </w:tcPr>
          <w:p w14:paraId="7D36D255" w14:textId="0FEF6EFB" w:rsidR="00B90E56" w:rsidRPr="00FC5B14" w:rsidRDefault="00FC5B1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C5B14">
              <w:rPr>
                <w:b/>
                <w:bCs/>
                <w:color w:val="FFFFFF" w:themeColor="background1"/>
                <w:sz w:val="28"/>
                <w:szCs w:val="28"/>
              </w:rPr>
              <w:t xml:space="preserve">QCH </w:t>
            </w:r>
            <w:r w:rsidR="00B90E56" w:rsidRPr="00FC5B14">
              <w:rPr>
                <w:b/>
                <w:bCs/>
                <w:color w:val="FFFFFF" w:themeColor="background1"/>
                <w:sz w:val="28"/>
                <w:szCs w:val="28"/>
              </w:rPr>
              <w:t>True North Strategic Goal</w:t>
            </w:r>
          </w:p>
        </w:tc>
      </w:tr>
      <w:tr w:rsidR="00B90E56" w14:paraId="435198BD" w14:textId="77777777" w:rsidTr="00FC5B14">
        <w:tc>
          <w:tcPr>
            <w:tcW w:w="1555" w:type="dxa"/>
            <w:shd w:val="clear" w:color="auto" w:fill="FF914D"/>
          </w:tcPr>
          <w:p w14:paraId="3BB7CBF2" w14:textId="22DF9506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Efficient</w:t>
            </w:r>
          </w:p>
        </w:tc>
        <w:tc>
          <w:tcPr>
            <w:tcW w:w="5244" w:type="dxa"/>
            <w:shd w:val="clear" w:color="auto" w:fill="FF914D"/>
          </w:tcPr>
          <w:p w14:paraId="1517E154" w14:textId="49AFECD2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Percent of Alternate Level of Care (ALC) days</w:t>
            </w:r>
          </w:p>
        </w:tc>
        <w:tc>
          <w:tcPr>
            <w:tcW w:w="2551" w:type="dxa"/>
            <w:shd w:val="clear" w:color="auto" w:fill="FF914D"/>
          </w:tcPr>
          <w:p w14:paraId="502C01E5" w14:textId="569AB07A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Seamless System of Care</w:t>
            </w:r>
          </w:p>
        </w:tc>
      </w:tr>
      <w:tr w:rsidR="00B90E56" w14:paraId="6EBB3083" w14:textId="77777777" w:rsidTr="00FC5B14">
        <w:tc>
          <w:tcPr>
            <w:tcW w:w="1555" w:type="dxa"/>
            <w:shd w:val="clear" w:color="auto" w:fill="FF914D"/>
          </w:tcPr>
          <w:p w14:paraId="2C5D6FBD" w14:textId="08F332B1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Efficient</w:t>
            </w:r>
          </w:p>
        </w:tc>
        <w:tc>
          <w:tcPr>
            <w:tcW w:w="5244" w:type="dxa"/>
            <w:shd w:val="clear" w:color="auto" w:fill="FF914D"/>
          </w:tcPr>
          <w:p w14:paraId="179480C7" w14:textId="075EF84B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Holistic assessment of patients with palliative care needs</w:t>
            </w:r>
          </w:p>
        </w:tc>
        <w:tc>
          <w:tcPr>
            <w:tcW w:w="2551" w:type="dxa"/>
            <w:shd w:val="clear" w:color="auto" w:fill="FF914D"/>
          </w:tcPr>
          <w:p w14:paraId="371D00F9" w14:textId="37AABD67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Seamless System of Care</w:t>
            </w:r>
          </w:p>
        </w:tc>
      </w:tr>
      <w:tr w:rsidR="00B90E56" w14:paraId="7912A842" w14:textId="77777777" w:rsidTr="00FC5B14">
        <w:tc>
          <w:tcPr>
            <w:tcW w:w="1555" w:type="dxa"/>
            <w:shd w:val="clear" w:color="auto" w:fill="01BED8"/>
          </w:tcPr>
          <w:p w14:paraId="1E410C8D" w14:textId="5974947C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Timely</w:t>
            </w:r>
          </w:p>
        </w:tc>
        <w:tc>
          <w:tcPr>
            <w:tcW w:w="5244" w:type="dxa"/>
            <w:shd w:val="clear" w:color="auto" w:fill="01BED8"/>
          </w:tcPr>
          <w:p w14:paraId="408B338C" w14:textId="784ED773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Time interval between admission decision to arriving to an inpatient bed</w:t>
            </w:r>
          </w:p>
        </w:tc>
        <w:tc>
          <w:tcPr>
            <w:tcW w:w="2551" w:type="dxa"/>
            <w:shd w:val="clear" w:color="auto" w:fill="01BED8"/>
          </w:tcPr>
          <w:p w14:paraId="37454FC9" w14:textId="643E1A4D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Exceptional Care Experience</w:t>
            </w:r>
          </w:p>
        </w:tc>
      </w:tr>
      <w:tr w:rsidR="00B90E56" w14:paraId="239C9361" w14:textId="77777777" w:rsidTr="00FC5B14">
        <w:tc>
          <w:tcPr>
            <w:tcW w:w="1555" w:type="dxa"/>
            <w:shd w:val="clear" w:color="auto" w:fill="01BED8"/>
          </w:tcPr>
          <w:p w14:paraId="5BCDEECD" w14:textId="216283E4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Patient-centred</w:t>
            </w:r>
          </w:p>
        </w:tc>
        <w:tc>
          <w:tcPr>
            <w:tcW w:w="5244" w:type="dxa"/>
            <w:shd w:val="clear" w:color="auto" w:fill="01BED8"/>
          </w:tcPr>
          <w:p w14:paraId="064F0E03" w14:textId="41D4FD05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Percent of patients who indicate they “completely” received enough information about their condition before discharge.</w:t>
            </w:r>
          </w:p>
        </w:tc>
        <w:tc>
          <w:tcPr>
            <w:tcW w:w="2551" w:type="dxa"/>
            <w:shd w:val="clear" w:color="auto" w:fill="01BED8"/>
          </w:tcPr>
          <w:p w14:paraId="21D92CE8" w14:textId="4481407D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Exceptional Care Experience</w:t>
            </w:r>
          </w:p>
        </w:tc>
      </w:tr>
      <w:tr w:rsidR="00B90E56" w14:paraId="1C04E3CD" w14:textId="77777777" w:rsidTr="00FC5B14">
        <w:tc>
          <w:tcPr>
            <w:tcW w:w="1555" w:type="dxa"/>
            <w:shd w:val="clear" w:color="auto" w:fill="01BED8"/>
          </w:tcPr>
          <w:p w14:paraId="48CEB493" w14:textId="483BD1B9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Effective</w:t>
            </w:r>
          </w:p>
        </w:tc>
        <w:tc>
          <w:tcPr>
            <w:tcW w:w="5244" w:type="dxa"/>
            <w:shd w:val="clear" w:color="auto" w:fill="01BED8"/>
          </w:tcPr>
          <w:p w14:paraId="3CF2380E" w14:textId="7B1D6A6C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Percent of post operative patients with primary knee or hip replacement who develop a surgical site infection</w:t>
            </w:r>
          </w:p>
        </w:tc>
        <w:tc>
          <w:tcPr>
            <w:tcW w:w="2551" w:type="dxa"/>
            <w:shd w:val="clear" w:color="auto" w:fill="01BED8"/>
          </w:tcPr>
          <w:p w14:paraId="335D43F5" w14:textId="47A955D3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Exceptional Care Experience</w:t>
            </w:r>
          </w:p>
        </w:tc>
      </w:tr>
      <w:tr w:rsidR="00B90E56" w14:paraId="3AB0271F" w14:textId="77777777" w:rsidTr="00FC5B14">
        <w:tc>
          <w:tcPr>
            <w:tcW w:w="1555" w:type="dxa"/>
            <w:shd w:val="clear" w:color="auto" w:fill="86578D"/>
          </w:tcPr>
          <w:p w14:paraId="02A3E221" w14:textId="1B062B15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Safe</w:t>
            </w:r>
          </w:p>
        </w:tc>
        <w:tc>
          <w:tcPr>
            <w:tcW w:w="5244" w:type="dxa"/>
            <w:shd w:val="clear" w:color="auto" w:fill="86578D"/>
          </w:tcPr>
          <w:p w14:paraId="6426B75F" w14:textId="76A57BD5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Voluntary Turnover rate</w:t>
            </w:r>
          </w:p>
        </w:tc>
        <w:tc>
          <w:tcPr>
            <w:tcW w:w="2551" w:type="dxa"/>
            <w:shd w:val="clear" w:color="auto" w:fill="86578D"/>
          </w:tcPr>
          <w:p w14:paraId="3C5597DF" w14:textId="3BB3BBF8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Positive Work Life</w:t>
            </w:r>
          </w:p>
        </w:tc>
      </w:tr>
      <w:tr w:rsidR="00B90E56" w14:paraId="4220A078" w14:textId="77777777" w:rsidTr="00FC5B14">
        <w:tc>
          <w:tcPr>
            <w:tcW w:w="1555" w:type="dxa"/>
            <w:shd w:val="clear" w:color="auto" w:fill="01BED8"/>
          </w:tcPr>
          <w:p w14:paraId="12D99353" w14:textId="7EE9F5CE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Safe</w:t>
            </w:r>
          </w:p>
        </w:tc>
        <w:tc>
          <w:tcPr>
            <w:tcW w:w="5244" w:type="dxa"/>
            <w:shd w:val="clear" w:color="auto" w:fill="01BED8"/>
          </w:tcPr>
          <w:p w14:paraId="3FF5A06F" w14:textId="1F15300B" w:rsidR="00B90E56" w:rsidRPr="00FC5B14" w:rsidRDefault="00B90E56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 xml:space="preserve">Rate of </w:t>
            </w:r>
            <w:r w:rsidR="00FC5B14" w:rsidRPr="00FC5B14">
              <w:rPr>
                <w:color w:val="FFFFFF" w:themeColor="background1"/>
                <w:sz w:val="28"/>
                <w:szCs w:val="28"/>
              </w:rPr>
              <w:t>medication issues reported</w:t>
            </w:r>
          </w:p>
        </w:tc>
        <w:tc>
          <w:tcPr>
            <w:tcW w:w="2551" w:type="dxa"/>
            <w:shd w:val="clear" w:color="auto" w:fill="01BED8"/>
          </w:tcPr>
          <w:p w14:paraId="4D188E87" w14:textId="204E707F" w:rsidR="00B90E56" w:rsidRPr="00FC5B14" w:rsidRDefault="00FC5B14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Exceptional Care Experience</w:t>
            </w:r>
          </w:p>
        </w:tc>
      </w:tr>
      <w:tr w:rsidR="00FC5B14" w14:paraId="3BA7AB46" w14:textId="77777777" w:rsidTr="00FC5B14">
        <w:tc>
          <w:tcPr>
            <w:tcW w:w="1555" w:type="dxa"/>
            <w:shd w:val="clear" w:color="auto" w:fill="86578D"/>
          </w:tcPr>
          <w:p w14:paraId="02B2B652" w14:textId="75F912CA" w:rsidR="00FC5B14" w:rsidRPr="00FC5B14" w:rsidRDefault="00FC5B14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Safe</w:t>
            </w:r>
          </w:p>
        </w:tc>
        <w:tc>
          <w:tcPr>
            <w:tcW w:w="5244" w:type="dxa"/>
            <w:shd w:val="clear" w:color="auto" w:fill="86578D"/>
          </w:tcPr>
          <w:p w14:paraId="1D0929A7" w14:textId="0FCFF601" w:rsidR="00FC5B14" w:rsidRPr="00FC5B14" w:rsidRDefault="00FC5B14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Percent of violent incidents without associated injury</w:t>
            </w:r>
          </w:p>
        </w:tc>
        <w:tc>
          <w:tcPr>
            <w:tcW w:w="2551" w:type="dxa"/>
            <w:shd w:val="clear" w:color="auto" w:fill="86578D"/>
          </w:tcPr>
          <w:p w14:paraId="038FB88D" w14:textId="73B3824A" w:rsidR="00FC5B14" w:rsidRPr="00FC5B14" w:rsidRDefault="00FC5B14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Positive Work Life</w:t>
            </w:r>
          </w:p>
        </w:tc>
      </w:tr>
      <w:tr w:rsidR="00FC5B14" w14:paraId="7A07C711" w14:textId="77777777" w:rsidTr="00FC5B14">
        <w:tc>
          <w:tcPr>
            <w:tcW w:w="1555" w:type="dxa"/>
            <w:shd w:val="clear" w:color="auto" w:fill="86578D"/>
          </w:tcPr>
          <w:p w14:paraId="280A09DC" w14:textId="669F28CB" w:rsidR="00FC5B14" w:rsidRPr="00FC5B14" w:rsidRDefault="00FC5B14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Equitable</w:t>
            </w:r>
          </w:p>
        </w:tc>
        <w:tc>
          <w:tcPr>
            <w:tcW w:w="5244" w:type="dxa"/>
            <w:shd w:val="clear" w:color="auto" w:fill="86578D"/>
          </w:tcPr>
          <w:p w14:paraId="24291138" w14:textId="57918854" w:rsidR="00FC5B14" w:rsidRPr="00FC5B14" w:rsidRDefault="00FC5B14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Percent of employees who feel they belong at QCH</w:t>
            </w:r>
          </w:p>
        </w:tc>
        <w:tc>
          <w:tcPr>
            <w:tcW w:w="2551" w:type="dxa"/>
            <w:shd w:val="clear" w:color="auto" w:fill="86578D"/>
          </w:tcPr>
          <w:p w14:paraId="56865215" w14:textId="7A42AFEE" w:rsidR="00FC5B14" w:rsidRPr="00FC5B14" w:rsidRDefault="00FC5B14">
            <w:pPr>
              <w:rPr>
                <w:color w:val="FFFFFF" w:themeColor="background1"/>
                <w:sz w:val="28"/>
                <w:szCs w:val="28"/>
              </w:rPr>
            </w:pPr>
            <w:r w:rsidRPr="00FC5B14">
              <w:rPr>
                <w:color w:val="FFFFFF" w:themeColor="background1"/>
                <w:sz w:val="28"/>
                <w:szCs w:val="28"/>
              </w:rPr>
              <w:t>Positive Work Life</w:t>
            </w:r>
          </w:p>
        </w:tc>
      </w:tr>
    </w:tbl>
    <w:p w14:paraId="5E83CC80" w14:textId="77777777" w:rsidR="00B90E56" w:rsidRPr="00B90E56" w:rsidRDefault="00B90E56">
      <w:pPr>
        <w:rPr>
          <w:sz w:val="28"/>
          <w:szCs w:val="28"/>
        </w:rPr>
      </w:pPr>
    </w:p>
    <w:sectPr w:rsidR="00B90E56" w:rsidRPr="00B90E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56"/>
    <w:rsid w:val="003E38F7"/>
    <w:rsid w:val="00426D81"/>
    <w:rsid w:val="00B90E56"/>
    <w:rsid w:val="00F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1BA4"/>
  <w15:chartTrackingRefBased/>
  <w15:docId w15:val="{BD324476-97DF-4351-B438-4613A43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Queensway Carleton Hospital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Ouellet, Colette</dc:creator>
  <cp:keywords/>
  <dc:description/>
  <cp:lastModifiedBy>Ouellet, Colette</cp:lastModifiedBy>
  <cp:revision>1</cp:revision>
  <dcterms:created xsi:type="dcterms:W3CDTF">2023-04-12T12:01:00Z</dcterms:created>
  <dcterms:modified xsi:type="dcterms:W3CDTF">2023-04-12T12:22:00Z</dcterms:modified>
</cp:coreProperties>
</file>